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bottom w:color="000000" w:space="0" w:sz="4" w:val="single"/>
        </w:pBdr>
        <w:spacing w:after="80" w:line="240" w:lineRule="auto"/>
        <w:jc w:val="right"/>
        <w:rPr>
          <w:rFonts w:ascii="Calibri" w:cs="Calibri" w:eastAsia="Calibri" w:hAnsi="Calibri"/>
          <w:sz w:val="42"/>
          <w:szCs w:val="42"/>
        </w:rPr>
      </w:pPr>
      <w:bookmarkStart w:colFirst="0" w:colLast="0" w:name="_oe6pb3qq4c1v" w:id="0"/>
      <w:bookmarkEnd w:id="0"/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DOCUMENTO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DE HISTORIAS DE USUARIO Y DOCUMENTACIÓN DE DISEÑO (ADMINISTRADOR DEL SISTEMA - PRESUPUESTO - CIERRE PRESUPUESTAL)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Fábrica de software – ADA S.A.S. 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80" w:before="160" w:line="240" w:lineRule="auto"/>
        <w:rPr>
          <w:rFonts w:ascii="Calibri" w:cs="Calibri" w:eastAsia="Calibri" w:hAnsi="Calibri"/>
          <w:color w:val="2f5496"/>
        </w:rPr>
      </w:pPr>
      <w:bookmarkStart w:colFirst="0" w:colLast="0" w:name="_yhytj0br2h5z" w:id="1"/>
      <w:bookmarkEnd w:id="1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REVISIÓN Y CONTROL DE CAMBIOS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Revisión y Versiones</w:t>
      </w:r>
    </w:p>
    <w:tbl>
      <w:tblPr>
        <w:tblStyle w:val="Table1"/>
        <w:tblW w:w="8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6"/>
        <w:gridCol w:w="962"/>
        <w:gridCol w:w="1477"/>
        <w:gridCol w:w="1657"/>
        <w:gridCol w:w="1947"/>
        <w:tblGridChange w:id="0">
          <w:tblGrid>
            <w:gridCol w:w="2736"/>
            <w:gridCol w:w="962"/>
            <w:gridCol w:w="1477"/>
            <w:gridCol w:w="1657"/>
            <w:gridCol w:w="1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Cargo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Santiago Velásquez Ruíz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 UX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19/06/2024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de Cambios</w:t>
      </w:r>
    </w:p>
    <w:tbl>
      <w:tblPr>
        <w:tblStyle w:val="Table2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145"/>
        <w:gridCol w:w="962"/>
        <w:gridCol w:w="3293"/>
        <w:tblGridChange w:id="0">
          <w:tblGrid>
            <w:gridCol w:w="1418"/>
            <w:gridCol w:w="3145"/>
            <w:gridCol w:w="962"/>
            <w:gridCol w:w="32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 del cambio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spacing w:after="80" w:before="240" w:line="240" w:lineRule="auto"/>
        <w:ind w:left="720"/>
        <w:rPr>
          <w:rFonts w:ascii="Calibri" w:cs="Calibri" w:eastAsia="Calibri" w:hAnsi="Calibri"/>
          <w:color w:val="2f5496"/>
        </w:rPr>
      </w:pPr>
      <w:bookmarkStart w:colFirst="0" w:colLast="0" w:name="_dhxmzs2t0or8" w:id="2"/>
      <w:bookmarkEnd w:id="2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TABLA DE CONTENIDO</w:t>
      </w:r>
    </w:p>
    <w:p w:rsidR="00000000" w:rsidDel="00000000" w:rsidP="00000000" w:rsidRDefault="00000000" w:rsidRPr="00000000" w14:paraId="0000004B">
      <w:pPr>
        <w:keepNext w:val="1"/>
        <w:keepLines w:val="1"/>
        <w:spacing w:before="240" w:line="240" w:lineRule="auto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Contenido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C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r:id="rId6"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INTRODUCCIÓN</w:t>
            </w:r>
          </w:hyperlink>
          <w:hyperlink r:id="rId7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leader="none" w:pos="8828"/>
            </w:tabs>
            <w:spacing w:after="100" w:line="240" w:lineRule="auto"/>
            <w:rPr/>
          </w:pPr>
          <w:hyperlink r:id="rId8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¿QUÉ FUNCIONALIDAD SE ABORDARÁ?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CIERRE PRESUPUESTAL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HISTORIAS DE USUARIO</w:t>
          </w:r>
          <w:hyperlink r:id="rId9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hyperlink r:id="rId10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leader="none" w:pos="8828"/>
            </w:tabs>
            <w:spacing w:after="100" w:line="240" w:lineRule="auto"/>
            <w:ind w:left="200" w:firstLine="0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PARÁMETROS (CIERRE PRESUPUESTAL</w:t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)</w:t>
          </w:r>
          <w:hyperlink r:id="rId1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hyperlink r:id="rId12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spacing w:after="80" w:before="160" w:line="240" w:lineRule="auto"/>
        <w:rPr>
          <w:rFonts w:ascii="Calibri" w:cs="Calibri" w:eastAsia="Calibri" w:hAnsi="Calibri"/>
          <w:color w:val="2f5496"/>
        </w:rPr>
      </w:pPr>
      <w:bookmarkStart w:colFirst="0" w:colLast="0" w:name="_2bn6wsx" w:id="3"/>
      <w:bookmarkEnd w:id="3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SICOF - Cierre presupuestal: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Esta sección se enfoca en el proceso de cierre presupuestal. Aquí, el usuario solo puede aplicar cambios en las fechas de vigencias o cambiar las fechas para cierre anual o mensual.</w:t>
      </w:r>
    </w:p>
    <w:p w:rsidR="00000000" w:rsidDel="00000000" w:rsidP="00000000" w:rsidRDefault="00000000" w:rsidRPr="00000000" w14:paraId="00000057">
      <w:pPr>
        <w:spacing w:lin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Funcionalidades:</w:t>
      </w:r>
    </w:p>
    <w:p w:rsidR="00000000" w:rsidDel="00000000" w:rsidP="00000000" w:rsidRDefault="00000000" w:rsidRPr="00000000" w14:paraId="00000059">
      <w:pPr>
        <w:spacing w:lin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Cierre del Mes Presupuestal:</w:t>
      </w:r>
      <w:r w:rsidDel="00000000" w:rsidR="00000000" w:rsidRPr="00000000">
        <w:rPr>
          <w:sz w:val="24"/>
          <w:szCs w:val="24"/>
          <w:rtl w:val="0"/>
        </w:rPr>
        <w:t xml:space="preserve"> Permite cerrar el mes presupuestal actual, consolidando todas las transacciones y registros financieros hasta la fecha de cierre.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Vigencia Actual: </w:t>
      </w:r>
      <w:r w:rsidDel="00000000" w:rsidR="00000000" w:rsidRPr="00000000">
        <w:rPr>
          <w:sz w:val="24"/>
          <w:szCs w:val="24"/>
          <w:rtl w:val="0"/>
        </w:rPr>
        <w:t xml:space="preserve">Indica el período presupuestal que se está cerrando. No es editable, ya que refleja la configuración actual del sistema.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Nueva Vigencia:</w:t>
      </w:r>
      <w:r w:rsidDel="00000000" w:rsidR="00000000" w:rsidRPr="00000000">
        <w:rPr>
          <w:sz w:val="24"/>
          <w:szCs w:val="24"/>
          <w:rtl w:val="0"/>
        </w:rPr>
        <w:t xml:space="preserve"> Indica el próximo período presupuestal que se utilizará después del cierre. Este campo es generalmente auto-calculado por el sistema basándose en la configuración actual.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Cierre Anual:</w:t>
      </w:r>
      <w:r w:rsidDel="00000000" w:rsidR="00000000" w:rsidRPr="00000000">
        <w:rPr>
          <w:sz w:val="24"/>
          <w:szCs w:val="24"/>
          <w:rtl w:val="0"/>
        </w:rPr>
        <w:t xml:space="preserve"> Al seleccionar esta opción, el sistema procederá a cerrar el año completo, consolidando todas las transacciones y registros del año fiscal. Este cierre incluye la transferencia de saldos y la preparación de la vigencia para el nuevo año.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Vigencia: </w:t>
      </w:r>
      <w:r w:rsidDel="00000000" w:rsidR="00000000" w:rsidRPr="00000000">
        <w:rPr>
          <w:sz w:val="24"/>
          <w:szCs w:val="24"/>
          <w:rtl w:val="0"/>
        </w:rPr>
        <w:t xml:space="preserve">Refleja la fecha a partir de la cual la nueva vigencia presupuestal será efectiva. Este campo puede estar predeterminado por el sistema o configurado por el usuario durante el proceso de cierre.</w:t>
      </w:r>
    </w:p>
    <w:p w:rsidR="00000000" w:rsidDel="00000000" w:rsidP="00000000" w:rsidRDefault="00000000" w:rsidRPr="00000000" w14:paraId="0000005F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spacing w:after="240" w:before="240" w:line="240" w:lineRule="auto"/>
        <w:rPr>
          <w:b w:val="1"/>
        </w:rPr>
      </w:pPr>
      <w:bookmarkStart w:colFirst="0" w:colLast="0" w:name="_sij55skkzvj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spacing w:after="240" w:before="240" w:line="240" w:lineRule="auto"/>
        <w:rPr>
          <w:b w:val="1"/>
        </w:rPr>
      </w:pPr>
      <w:bookmarkStart w:colFirst="0" w:colLast="0" w:name="_i833jynrhim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spacing w:after="240" w:before="240" w:line="240" w:lineRule="auto"/>
        <w:rPr>
          <w:b w:val="1"/>
        </w:rPr>
      </w:pPr>
      <w:bookmarkStart w:colFirst="0" w:colLast="0" w:name="_idq4c3pc629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spacing w:after="240" w:before="240" w:line="240" w:lineRule="auto"/>
        <w:rPr>
          <w:b w:val="1"/>
        </w:rPr>
      </w:pPr>
      <w:bookmarkStart w:colFirst="0" w:colLast="0" w:name="_lov07es8le2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spacing w:after="240" w:before="240" w:line="240" w:lineRule="auto"/>
        <w:rPr>
          <w:b w:val="1"/>
        </w:rPr>
      </w:pPr>
      <w:bookmarkStart w:colFirst="0" w:colLast="0" w:name="_wzkbpiprf6l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spacing w:after="240" w:before="240" w:line="240" w:lineRule="auto"/>
        <w:rPr>
          <w:sz w:val="24"/>
          <w:szCs w:val="24"/>
        </w:rPr>
      </w:pPr>
      <w:bookmarkStart w:colFirst="0" w:colLast="0" w:name="_z16aaly6e8o0" w:id="9"/>
      <w:bookmarkEnd w:id="9"/>
      <w:r w:rsidDel="00000000" w:rsidR="00000000" w:rsidRPr="00000000">
        <w:rPr>
          <w:b w:val="1"/>
          <w:rtl w:val="0"/>
        </w:rPr>
        <w:t xml:space="preserve">Historias de usuarios.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="240" w:lineRule="auto"/>
        <w:ind w:left="0" w:firstLine="0"/>
        <w:rPr>
          <w:b w:val="1"/>
          <w:color w:val="000000"/>
          <w:sz w:val="26"/>
          <w:szCs w:val="26"/>
        </w:rPr>
      </w:pPr>
      <w:bookmarkStart w:colFirst="0" w:colLast="0" w:name="_80kq3by7bgnc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Visualización de Vigencia Actual</w:t>
      </w:r>
    </w:p>
    <w:p w:rsidR="00000000" w:rsidDel="00000000" w:rsidP="00000000" w:rsidRDefault="00000000" w:rsidRPr="00000000" w14:paraId="0000006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Como</w:t>
      </w:r>
      <w:r w:rsidDel="00000000" w:rsidR="00000000" w:rsidRPr="00000000">
        <w:rPr>
          <w:sz w:val="24"/>
          <w:szCs w:val="24"/>
          <w:rtl w:val="0"/>
        </w:rPr>
        <w:t xml:space="preserve"> usuario administrativo del sistema financiero,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Quiero</w:t>
      </w:r>
      <w:r w:rsidDel="00000000" w:rsidR="00000000" w:rsidRPr="00000000">
        <w:rPr>
          <w:sz w:val="24"/>
          <w:szCs w:val="24"/>
          <w:rtl w:val="0"/>
        </w:rPr>
        <w:t xml:space="preserve"> visualizar la vigencia presupuestal actual,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Para</w:t>
      </w:r>
      <w:r w:rsidDel="00000000" w:rsidR="00000000" w:rsidRPr="00000000">
        <w:rPr>
          <w:sz w:val="24"/>
          <w:szCs w:val="24"/>
          <w:rtl w:val="0"/>
        </w:rPr>
        <w:t xml:space="preserve"> asegurarme de que estoy al tanto del periodo financiero vigente.</w:t>
      </w:r>
    </w:p>
    <w:p w:rsidR="00000000" w:rsidDel="00000000" w:rsidP="00000000" w:rsidRDefault="00000000" w:rsidRPr="00000000" w14:paraId="00000068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Criterios de Aceptación: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sistema debe mostrar la fecha de la vigencia actual.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campo de vigencia actual debe ser de solo lectura y no permitir la edición por parte del usuario.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48225" cy="6572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spacing w:after="240" w:before="240" w:line="240" w:lineRule="auto"/>
        <w:rPr>
          <w:b w:val="1"/>
          <w:sz w:val="26"/>
          <w:szCs w:val="26"/>
        </w:rPr>
      </w:pPr>
      <w:bookmarkStart w:colFirst="0" w:colLast="0" w:name="_1xkbammnsx9o" w:id="11"/>
      <w:bookmarkEnd w:id="11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Visualización de Nueva Vigencia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administrativo del sistema financiero,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visualizar la nueva vigencia presupuestal,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planificar y prepararme para el próximo periodo financiero.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sistema debe mostrar la fecha de la nueva vigencia.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campo de nueva vigencia debe ser de solo lectura y no permitir la edición por parte del usuario.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848225" cy="6572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ab0t66yl3bf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Configuración de Mes de Cierre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administrativo del sistema financiero,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configurar un mes específico para el cierre del presupuesto,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poder definir el periodo exacto en el que se debe realizar el cierre anual de las cuentas.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Debe poder seleccionar o activar el mes de cierre.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sistema debe permitir la entrada del mes correspondiente para el cierre.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configuración debe ser guardada y aplicada correctamente.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524125" cy="6858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ld55jden02k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Configuración de Cierre Anual</w:t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administrativo del sistema financiero,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activar y definir la fecha para el cierre anual del presupuesto,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que el cierre anual se realice de manera ordenada y según las políticas de la organización.</w:t>
      </w:r>
    </w:p>
    <w:p w:rsidR="00000000" w:rsidDel="00000000" w:rsidP="00000000" w:rsidRDefault="00000000" w:rsidRPr="00000000" w14:paraId="0000007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Debe poder activar el cierre anual mediante un interruptor.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Debe permitir la entrada de la fecha para el cierre anual.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configuración debe ser guardada y aplicada sin errores.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524125" cy="68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uhxfnz45ann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Gestión de Vigencia de Regalías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administrativo del sistema financiero,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gestionar las vigencias de regalías para los años actuales y siguientes,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que los registros de regalías estén actualizados y reflejen los periodos correctos.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Debe poder ingresar y editar las fechas de vigencia de regalías para los años especificados.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información debe ser guardada y reflejarse correctamente en los registros del sistema.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867275" cy="571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widowControl w:val="0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89"/>
      <w:gridCol w:w="2693"/>
      <w:gridCol w:w="709"/>
      <w:gridCol w:w="567"/>
      <w:gridCol w:w="2701.999999999999"/>
      <w:tblGridChange w:id="0">
        <w:tblGrid>
          <w:gridCol w:w="2689"/>
          <w:gridCol w:w="2693"/>
          <w:gridCol w:w="709"/>
          <w:gridCol w:w="567"/>
          <w:gridCol w:w="2701.999999999999"/>
        </w:tblGrid>
      </w:tblGridChange>
    </w:tblGrid>
    <w:tr>
      <w:trPr>
        <w:cantSplit w:val="0"/>
        <w:trHeight w:val="378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8C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    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25404</wp:posOffset>
                </wp:positionH>
                <wp:positionV relativeFrom="paragraph">
                  <wp:posOffset>115757</wp:posOffset>
                </wp:positionV>
                <wp:extent cx="1511935" cy="43942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23397" l="0" r="0" t="253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935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4"/>
        </w:tcPr>
        <w:p w:rsidR="00000000" w:rsidDel="00000000" w:rsidP="00000000" w:rsidRDefault="00000000" w:rsidRPr="00000000" w14:paraId="0000008D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Historias de usuario y documentación maestro - terceros</w:t>
          </w:r>
        </w:p>
      </w:tc>
    </w:tr>
    <w:tr>
      <w:trPr>
        <w:cantSplit w:val="0"/>
        <w:trHeight w:val="37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91">
          <w:pPr>
            <w:widowControl w:val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2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Proyecto:  Migración SICOF</w:t>
          </w:r>
        </w:p>
      </w:tc>
      <w:tc>
        <w:tcPr>
          <w:gridSpan w:val="2"/>
        </w:tcPr>
        <w:p w:rsidR="00000000" w:rsidDel="00000000" w:rsidP="00000000" w:rsidRDefault="00000000" w:rsidRPr="00000000" w14:paraId="00000093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Versión: 1.0</w:t>
          </w:r>
        </w:p>
      </w:tc>
      <w:tc>
        <w:tcPr/>
        <w:p w:rsidR="00000000" w:rsidDel="00000000" w:rsidP="00000000" w:rsidRDefault="00000000" w:rsidRPr="00000000" w14:paraId="00000095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96">
          <w:pPr>
            <w:widowControl w:val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97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Elabora: Santiago Velásquez Ruíz</w:t>
          </w:r>
        </w:p>
      </w:tc>
      <w:tc>
        <w:tcPr>
          <w:gridSpan w:val="2"/>
        </w:tcPr>
        <w:p w:rsidR="00000000" w:rsidDel="00000000" w:rsidP="00000000" w:rsidRDefault="00000000" w:rsidRPr="00000000" w14:paraId="00000099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Revisa: Daberson Henao</w:t>
          </w:r>
        </w:p>
      </w:tc>
    </w:tr>
  </w:tbl>
  <w:p w:rsidR="00000000" w:rsidDel="00000000" w:rsidP="00000000" w:rsidRDefault="00000000" w:rsidRPr="00000000" w14:paraId="0000009B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rgrf5-5tD2c9EhFMeLpthy_nMQxJ8g7g/edit#heading=h.32hioqz" TargetMode="External"/><Relationship Id="rId10" Type="http://schemas.openxmlformats.org/officeDocument/2006/relationships/hyperlink" Target="https://docs.google.com/document/d/1rgrf5-5tD2c9EhFMeLpthy_nMQxJ8g7g/edit#heading=h.49x2ik5" TargetMode="External"/><Relationship Id="rId13" Type="http://schemas.openxmlformats.org/officeDocument/2006/relationships/image" Target="media/image4.png"/><Relationship Id="rId12" Type="http://schemas.openxmlformats.org/officeDocument/2006/relationships/hyperlink" Target="https://docs.google.com/document/d/1rgrf5-5tD2c9EhFMeLpthy_nMQxJ8g7g/edit#heading=h.nmf14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rgrf5-5tD2c9EhFMeLpthy_nMQxJ8g7g/edit#heading=h.1pxezwc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grf5-5tD2c9EhFMeLpthy_nMQxJ8g7g/edit#heading=h.2xcytpi" TargetMode="External"/><Relationship Id="rId18" Type="http://schemas.openxmlformats.org/officeDocument/2006/relationships/header" Target="header1.xml"/><Relationship Id="rId7" Type="http://schemas.openxmlformats.org/officeDocument/2006/relationships/hyperlink" Target="https://docs.google.com/document/d/1rgrf5-5tD2c9EhFMeLpthy_nMQxJ8g7g/edit#heading=h.1ci93xb" TargetMode="External"/><Relationship Id="rId8" Type="http://schemas.openxmlformats.org/officeDocument/2006/relationships/hyperlink" Target="https://docs.google.com/document/d/1rgrf5-5tD2c9EhFMeLpthy_nMQxJ8g7g/edit#heading=h.3whwml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